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57F6">
      <w:pPr>
        <w:pStyle w:val="FORMATTEXT"/>
        <w:jc w:val="right"/>
      </w:pPr>
      <w:r>
        <w:t xml:space="preserve">  </w:t>
      </w:r>
    </w:p>
    <w:p w:rsidR="00000000" w:rsidRDefault="00E457F6">
      <w:pPr>
        <w:pStyle w:val="FORMATTEXT"/>
        <w:jc w:val="right"/>
      </w:pPr>
      <w:bookmarkStart w:id="0" w:name="_GoBack"/>
      <w:bookmarkEnd w:id="0"/>
      <w:r>
        <w:t xml:space="preserve">ПРОЕКТ </w:t>
      </w:r>
    </w:p>
    <w:p w:rsidR="00000000" w:rsidRDefault="00E457F6">
      <w:pPr>
        <w:pStyle w:val="HEADERTEXT"/>
        <w:rPr>
          <w:b/>
          <w:bCs/>
          <w:color w:val="000001"/>
        </w:rPr>
      </w:pP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РОССИЙСКОЙ ФЕДЕРАЦИИ </w:t>
      </w:r>
    </w:p>
    <w:p w:rsidR="00000000" w:rsidRDefault="00E457F6">
      <w:pPr>
        <w:pStyle w:val="HEADERTEXT"/>
        <w:rPr>
          <w:b/>
          <w:bCs/>
          <w:color w:val="000001"/>
        </w:rPr>
      </w:pP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РАСПОРЯЖЕНИЕ </w:t>
      </w:r>
    </w:p>
    <w:p w:rsidR="00000000" w:rsidRDefault="00E457F6">
      <w:pPr>
        <w:pStyle w:val="HEADERTEXT"/>
        <w:rPr>
          <w:b/>
          <w:bCs/>
          <w:color w:val="000001"/>
        </w:rPr>
      </w:pP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от__________________г. N______________ </w:t>
      </w:r>
    </w:p>
    <w:p w:rsidR="00000000" w:rsidRDefault="00E457F6">
      <w:pPr>
        <w:pStyle w:val="HEADERTEXT"/>
        <w:jc w:val="center"/>
        <w:rPr>
          <w:b/>
          <w:bCs/>
          <w:color w:val="000001"/>
        </w:rPr>
      </w:pP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[Об утвер</w:t>
      </w:r>
      <w:r>
        <w:rPr>
          <w:b/>
          <w:bCs/>
          <w:color w:val="000001"/>
        </w:rPr>
        <w:t xml:space="preserve">ждении  перечня товаров, работ, услуг, в случае осуществления закупок которых заказчик обязан проводить электронный аукцион] </w:t>
      </w:r>
    </w:p>
    <w:p w:rsidR="00000000" w:rsidRDefault="00E457F6">
      <w:pPr>
        <w:pStyle w:val="FORMATTEXT"/>
        <w:ind w:firstLine="568"/>
        <w:jc w:val="both"/>
      </w:pPr>
      <w:r>
        <w:t>1. В соответствии с Федеральным законом "О контрактной системе в сфере закупок товаров, работ, услуг для обеспечения государственн</w:t>
      </w:r>
      <w:r>
        <w:t>ых и муниципальных нужд" утвердить прилагаемый перечень товаров, работ, услуг, в случае осуществления закупок которых заказчик обязан проводить электронный аукцион.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2. Признать утратившими силу распоряжения Правительства Российской Федерации от 27 феврал</w:t>
      </w:r>
      <w:r>
        <w:t>я 2008 года N 236-р (Собрание законодательства Российской Федерации 2008, N 9, ст.884; 2010, N 14, ст.1690) и от 25 марта 2010 года N 427-р (Собрание законодательства Российской Федерации 2010, N 14, ст.1690).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 xml:space="preserve">3. Настоящее распоряжение вступает в силу с </w:t>
      </w:r>
      <w:r>
        <w:t>1 января 2014 года.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jc w:val="right"/>
      </w:pPr>
      <w:r>
        <w:t>Председатель Правительства</w:t>
      </w:r>
    </w:p>
    <w:p w:rsidR="00000000" w:rsidRDefault="00E457F6">
      <w:pPr>
        <w:pStyle w:val="FORMATTEXT"/>
        <w:jc w:val="right"/>
      </w:pPr>
      <w:r>
        <w:t xml:space="preserve"> Российской Федерации</w:t>
      </w:r>
    </w:p>
    <w:p w:rsidR="00000000" w:rsidRDefault="00E457F6">
      <w:pPr>
        <w:pStyle w:val="FORMATTEXT"/>
        <w:jc w:val="right"/>
      </w:pPr>
      <w:r>
        <w:t xml:space="preserve"> Д.Медведев</w:t>
      </w:r>
    </w:p>
    <w:p w:rsidR="00000000" w:rsidRDefault="00E457F6">
      <w:pPr>
        <w:pStyle w:val="FORMATTEXT"/>
        <w:jc w:val="right"/>
      </w:pPr>
      <w:r>
        <w:t xml:space="preserve"> </w:t>
      </w:r>
    </w:p>
    <w:p w:rsidR="00000000" w:rsidRDefault="00E457F6">
      <w:pPr>
        <w:pStyle w:val="FORMATTEXT"/>
        <w:jc w:val="right"/>
      </w:pPr>
      <w:r>
        <w:t>     </w:t>
      </w:r>
    </w:p>
    <w:p w:rsidR="00000000" w:rsidRDefault="00E457F6">
      <w:pPr>
        <w:pStyle w:val="FORMATTEXT"/>
        <w:jc w:val="right"/>
      </w:pPr>
      <w:r>
        <w:t xml:space="preserve"> УТВЕРЖДЕН</w:t>
      </w:r>
    </w:p>
    <w:p w:rsidR="00000000" w:rsidRDefault="00E457F6">
      <w:pPr>
        <w:pStyle w:val="FORMATTEXT"/>
        <w:jc w:val="right"/>
      </w:pPr>
      <w:r>
        <w:t xml:space="preserve"> распоряжением Правительства</w:t>
      </w:r>
    </w:p>
    <w:p w:rsidR="00000000" w:rsidRDefault="00E457F6">
      <w:pPr>
        <w:pStyle w:val="FORMATTEXT"/>
        <w:jc w:val="right"/>
      </w:pPr>
      <w:r>
        <w:t xml:space="preserve"> Российской Федерации от___________года N________ </w:t>
      </w:r>
    </w:p>
    <w:p w:rsidR="00000000" w:rsidRDefault="00E457F6">
      <w:pPr>
        <w:pStyle w:val="HEADERTEXT"/>
        <w:rPr>
          <w:b/>
          <w:bCs/>
          <w:color w:val="000001"/>
        </w:rPr>
      </w:pP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Перечень товаров, работ, услуг, в случае осуществления заку</w:t>
      </w:r>
      <w:r>
        <w:rPr>
          <w:b/>
          <w:bCs/>
          <w:color w:val="000001"/>
        </w:rPr>
        <w:t xml:space="preserve">пок которых заказчик обязан проводить электронный аукцион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6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  <w:jc w:val="center"/>
            </w:pPr>
            <w:r>
              <w:t>Код по Общероссийскому классификатору продукции по видам экономической деятельности (ОКПД)</w:t>
            </w:r>
          </w:p>
          <w:p w:rsidR="00000000" w:rsidRDefault="00E457F6">
            <w:pPr>
              <w:pStyle w:val="a3"/>
              <w:jc w:val="center"/>
            </w:pPr>
            <w:r>
              <w:t xml:space="preserve"> ОК 034-2007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01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lastRenderedPageBreak/>
              <w:t>Продукция и услуги сельского хозяйства и охоты (кроме кодов</w:t>
            </w:r>
            <w:r>
              <w:t xml:space="preserve"> </w:t>
            </w:r>
            <w:r>
              <w:lastRenderedPageBreak/>
              <w:t>01.21.1, 01.22.1, 01.23, 01.24.1, 01.25.1, 1.5, 01.25.3)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lastRenderedPageBreak/>
              <w:t xml:space="preserve">02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Продукция лесоводства, лесозаготовок и связанные с этим услуги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05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10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Уголь; уг</w:t>
            </w:r>
            <w:r>
              <w:t>оль агломерированный; уголь обогащенный; услуги по добыче угля, обогащению угля, агломерации угля; торф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11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Нефть и газ природный; услуги, связанные с добычей нефти и газа, кроме геолого-разведочных работ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13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Руды металлические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14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Продукция</w:t>
            </w:r>
            <w:r>
              <w:t xml:space="preserve"> горно-добывающих производств прочая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15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Продукты пищевые и напитки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16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Изделия табачные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17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Текстиль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>18</w:t>
            </w:r>
            <w:r w:rsidR="00502189">
              <w:rPr>
                <w:noProof/>
                <w:position w:val="-8"/>
              </w:rPr>
              <w:drawing>
                <wp:inline distT="0" distB="0" distL="0" distR="0">
                  <wp:extent cx="87630" cy="223520"/>
                  <wp:effectExtent l="0" t="0" r="762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Одежда; меха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19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Кожа и изделия из кожи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Древесина и изделия из дерева и пробки (кроме мебели), изделия из соломки и материалов для плетения</w:t>
            </w:r>
          </w:p>
          <w:p w:rsidR="00000000" w:rsidRDefault="00E457F6">
            <w:pPr>
              <w:pStyle w:val="a3"/>
            </w:pPr>
            <w:r>
              <w:lastRenderedPageBreak/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lastRenderedPageBreak/>
              <w:t xml:space="preserve">21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Целлюлоза, бумага и изделия из бумаги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>22</w:t>
            </w:r>
            <w:r w:rsidR="00502189">
              <w:rPr>
                <w:noProof/>
                <w:position w:val="-8"/>
              </w:rPr>
              <w:drawing>
                <wp:inline distT="0" distB="0" distL="0" distR="0">
                  <wp:extent cx="107315" cy="223520"/>
                  <wp:effectExtent l="0" t="0" r="698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Продукция печатная и носители информации записанные (кроме кодов 22.15.13, 22.22.12.110, 22.22.12.190)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23.1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Продукция коксовых печей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23.2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Нефтепродукты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24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Вещества химические, продукты химические и во</w:t>
            </w:r>
            <w:r>
              <w:t>локна химические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25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Изделия резиновые и полимерные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26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Продукты минеральные неметаллические прочие (кроме кодов</w:t>
            </w:r>
            <w:r>
              <w:t xml:space="preserve"> 26.15.24.111, 26.21.11.110-26.21.11.150, 26.21.11.310-26.21.11.330, 26.21.12.110-26.21.12.150, 26.21.11.128, 26.21.11.135, 26.21.12.128, 26.21.12.135, 26.40.120)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27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Металлы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28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Изделия металлические готовые, кроме машин и оборудования (кроме ко</w:t>
            </w:r>
            <w:r>
              <w:t>дов 28.30.21, 28.30.22, 28.61.11.115, 28.61.14.120, 28.61.14.130, 28.61.14.173, 28.61.14.174)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29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Машины и оборудование, не включенные в другие группировки (кроме кодов 29.22.18.210-29.22.220, 29.56.25.120, 29.60.1)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lastRenderedPageBreak/>
              <w:t xml:space="preserve">30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Оборудование офисное и тех</w:t>
            </w:r>
            <w:r>
              <w:t>ника вычислительная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31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Машины электрические и электрооборудование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32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Компоненты электронные; аппаратура для радио, телевидения и связи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33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Изделия медицинские; приборы и инструменты для измерения, контроля, испытаний, навигации, управления</w:t>
            </w:r>
            <w:r>
              <w:t>; приборы оптические, фото- и кинооборудование; часы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34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Средства автотранспортные, прицепы и полуприцепы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35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Средства транспортные прочие и оборудование (кроме кодов 35.11, 35.3)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36.6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Разные промышленные изделия, не включенные в другие гру</w:t>
            </w:r>
            <w:r>
              <w:t>ппировки (кроме кодов 36.61.10, 36.30.136.5, 36.63.74.110-36.63.74.119, 36.63.10.110-36.63.10.152, 36.63.10.161, 36.63.10.162, 36.63.10.170, 36.63.10.190, 36.63.10.210, 36.63.33, 36.63.72, 36.63.8, 36.63.50.110)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40.30.10.130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Лед натуральный (природны</w:t>
            </w:r>
            <w:r>
              <w:t>й)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40.30.10.140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Холод поставляемый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37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Сырье вторичное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41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Вода собранная и очищенная, услуги по распределению воды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>45</w:t>
            </w:r>
            <w:r w:rsidR="00502189">
              <w:rPr>
                <w:noProof/>
                <w:position w:val="-8"/>
              </w:rPr>
              <w:drawing>
                <wp:inline distT="0" distB="0" distL="0" distR="0">
                  <wp:extent cx="107315" cy="223520"/>
                  <wp:effectExtent l="0" t="0" r="698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lastRenderedPageBreak/>
              <w:t>Работы строительные (кроме кода 45.12)</w:t>
            </w:r>
          </w:p>
          <w:p w:rsidR="00000000" w:rsidRDefault="00E457F6">
            <w:pPr>
              <w:pStyle w:val="a3"/>
            </w:pPr>
            <w:r>
              <w:lastRenderedPageBreak/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lastRenderedPageBreak/>
              <w:t xml:space="preserve">50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51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оптовой т</w:t>
            </w:r>
            <w:r>
              <w:t>орговле, включая торговлю через агентов, кроме услуг по торговле автотранспортными средствами и мотоциклами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52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розничной торговле, кроме услуг по торговле автотранспортными средствами и мотоциклами; услуги по ремонту бытовых изделий и предм</w:t>
            </w:r>
            <w:r>
              <w:t>етов личного пользования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55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гостиниц и ресторанов (кроме кодов 55.3, 55.52.11.141-55.52.11.143, 55.52.11.145, 55.52.11.149)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60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сухопутного транспорта и транспортирования по трубопроводам (кроме кодов 60.1, 60.21.10.111, 60.3)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61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водного транспорта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63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транспортные вспомогательные и дополнительные; услуги туристических агентств (кроме кодов 63.21.10.114, 63.30.13)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64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почты и электросвязи (кроме кодов 64.12, 64.2)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65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финансовому п</w:t>
            </w:r>
            <w:r>
              <w:t>осредничеству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67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вспомогательные в сфере финансового посредничества (кроме кода 67.12.10 в части услуг по организации облигационных займов)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lastRenderedPageBreak/>
              <w:t xml:space="preserve">70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Услуги, связанные с недвижимым имуществом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72.5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техническому обслуживанию и рем</w:t>
            </w:r>
            <w:r>
              <w:t>онту офисных машин и вычислительной техники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74.70.13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чистке и уборке общего назначения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74.70.14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специализированные по чистке и уборке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74.70.15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чистке печей и дымоходов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74.82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упаковыванию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90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FORMATTEXT"/>
            </w:pPr>
            <w:r>
              <w:t>Услуги по удалению сточных вод и отходов, улучшению санитарного состояния и аналогичные услуги (кроме кода 90.01)</w:t>
            </w:r>
          </w:p>
          <w:p w:rsidR="00000000" w:rsidRDefault="00E457F6">
            <w:pPr>
              <w:pStyle w:val="a3"/>
            </w:pPr>
            <w:r>
              <w:t xml:space="preserve">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  <w:jc w:val="center"/>
            </w:pPr>
            <w:r>
              <w:t xml:space="preserve">93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457F6">
            <w:pPr>
              <w:pStyle w:val="a3"/>
            </w:pPr>
            <w:r>
              <w:t xml:space="preserve">Услуги персональные прочие (кроме кодов 93.02, 93.03, 93.04.10.210, 93.05.12.140, 93.05.12.150) </w:t>
            </w:r>
          </w:p>
          <w:p w:rsidR="00000000" w:rsidRDefault="00E4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457F6">
      <w:pPr>
        <w:pStyle w:val="a3"/>
      </w:pPr>
    </w:p>
    <w:p w:rsidR="00000000" w:rsidRDefault="00E457F6">
      <w:pPr>
        <w:pStyle w:val="FORMATTEXT"/>
        <w:ind w:firstLine="568"/>
        <w:jc w:val="both"/>
      </w:pPr>
      <w:r>
        <w:t>Примечание: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50218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7630" cy="223520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7F6">
        <w:t>За исключением детской одежды.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50218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7315" cy="223520"/>
            <wp:effectExtent l="0" t="0" r="698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7F6">
        <w:t>За 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50218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7315" cy="223520"/>
            <wp:effectExtent l="0" t="0" r="698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7F6">
        <w:t>За 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</w:t>
      </w:r>
      <w:r w:rsidR="00E457F6">
        <w:t>, регионального или межмуниципального, местного значения, а также работ, включенных в данную группировку, в случае, если начальная (максимальная) цена контракта превышает 500 млн. рублей.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HEADERTEXT"/>
        <w:rPr>
          <w:b/>
          <w:bCs/>
          <w:color w:val="000001"/>
        </w:rPr>
      </w:pPr>
    </w:p>
    <w:p w:rsidR="00000000" w:rsidRDefault="00E457F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Пояснительная записка к проекту распоряжения Правительства Росси</w:t>
      </w:r>
      <w:r>
        <w:rPr>
          <w:b/>
          <w:bCs/>
          <w:color w:val="000001"/>
        </w:rPr>
        <w:t xml:space="preserve">йской Федерации, утверждающего перечень товаров, работ, услуг, в случае осуществления закупок которых заказчик обязан проводить электронный аукцион </w:t>
      </w:r>
    </w:p>
    <w:p w:rsidR="00000000" w:rsidRDefault="00E457F6">
      <w:pPr>
        <w:pStyle w:val="FORMATTEXT"/>
        <w:ind w:firstLine="568"/>
        <w:jc w:val="both"/>
      </w:pPr>
      <w:r>
        <w:t>Проект распоряжения Правительства Российской Федерации, устанавливающий перечень товаров, работ, услуг, в с</w:t>
      </w:r>
      <w:r>
        <w:t>лучае осуществления закупок которых заказчик обязан проводить электронный аукцион (далее - Перечень), разработан в целях реализации части 2 статьи 59 Федерального закона от 5 апреля 2013 года N 44-ФЗ "О контрактной системе в сфере закупок товаров, работ, у</w:t>
      </w:r>
      <w:r>
        <w:t>слуг для обеспечения государственных и муниципальных нужд" (далее - Федеральный закон N 44-ФЗ).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Перечень разработан на основе анализа правоприменительной практики действующего перечня товаров (работ, услуг), размещение заказов на поставки (выполнение, ок</w:t>
      </w:r>
      <w:r>
        <w:t xml:space="preserve">азание) которых осуществляется путем проведения аукциона, утвержденного распоряжением Правительства Российской Федерации от 27 февраля 2008 года N 236-р, а также с учетом предложений федеральных органов исполнительной власти, экспертного сообщества (далее </w:t>
      </w:r>
      <w:r>
        <w:t>- действующий перечень).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При этом в целях кодирования информации в Перечне используется Общероссийский классификатор продукции по видам экономической деятельности (ОКПД) вместо используемого в действующем перечне Общероссийского классификатора видов экон</w:t>
      </w:r>
      <w:r>
        <w:t>омической деятельности, продукции и услуг (ОКДП), который классифицирует виды экономической деятельности, продукцию и услуги преимущественно по функциональному признаку.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В то же время ОКПД построен на основе гармонизации со структурой Общероссийского кла</w:t>
      </w:r>
      <w:r>
        <w:t>ссификатора видов экономической деятельности (ОКВЭД), а также входит в состав национальной системы стандартизации Российской Федерации.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Отмечаем также, что использование ОКПД предполагается при разработке планов закупок, планов-графиков закупок, иных док</w:t>
      </w:r>
      <w:r>
        <w:t>ументов, предусмотренных Федеральным законом N 44-ФЗ, что позволит унифицировать кодирование информации, содержащейся в таких документах.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При формировании Перечня по предложению заинтересованных федеральных органов исполнительной власти он дополнен (по с</w:t>
      </w:r>
      <w:r>
        <w:t>равнению с действующим перечнем) позицией "Аппаратура медицинская; средства измерения; фото- и киноаппаратура, часы" (ОКДП 3300000).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Включение в Перечень указанной позиции обусловлено тем, что для данного объекта закупок существует возможность сформулиро</w:t>
      </w:r>
      <w:r>
        <w:t>вать подробное и точное описание. При этом критерии определения победителя аукциона на поставку указанной аппаратуры имеют количественную и денежную оценку.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Вместе с тем из Перечня (по сравнению с действующим перечнем) исключены закупки по коду "Услуги с</w:t>
      </w:r>
      <w:r>
        <w:t>троительные и объекты строительства" (ОКДП 4500000) с начальной (максимальной) ценой контракта свыше 500 млн. рублей.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Необходимость указанного изменения связана с тем, что по результатам мониторинга деятельности отобранных операторов электронных площадок</w:t>
      </w:r>
      <w:r>
        <w:t xml:space="preserve">, осуществляемого Минэкономразвития России во исполнение поручения Правительства Российской Федерации от 26 октября 2009 года N ИШ-П13-71пр (пункт 6, абзац 3), с 1 октября 2010 года по 8 августа 2013 года наибольшее количество среди всех </w:t>
      </w:r>
      <w:r>
        <w:lastRenderedPageBreak/>
        <w:t>несостоявшихся отк</w:t>
      </w:r>
      <w:r>
        <w:t>рытых аукционов в электронной форме приходится на размещение заказов на услуги строительные и объекты строительства - 25% по количеству процедур, 48% по стоимости.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Доля несостоявшихся открытых аукционов в электронной форме на услуги строительные и объект</w:t>
      </w:r>
      <w:r>
        <w:t>ы строительства от всех объявленных открытых аукционов в электронной форме составляет в диапазонах начальной (максимальной) цены контракта: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а) от 0 до 500 млн. рублей - 16% по количеству, 27% - по стоимости;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б) свыше 500 млн. рублей - 45% по количеству</w:t>
      </w:r>
      <w:r>
        <w:t>, 41% - по стоимости.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Доля несостоявшихся открытых аукционов в электронной форме на услуги строительные и объекты строительства от всех открытых аукционов в электронной форме на услуги строительные и объекты строительства приходится в диапазонах начально</w:t>
      </w:r>
      <w:r>
        <w:t>й (максимальной) цены контракта: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а) от 0 до 500 млн. рублей - 60% по количеству, 57% - по стоимости;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 xml:space="preserve">б) свыше 500 млн. рублей - 65% по количеству, 66% - по стоимости. </w:t>
      </w:r>
    </w:p>
    <w:p w:rsidR="00000000" w:rsidRDefault="00E457F6">
      <w:pPr>
        <w:pStyle w:val="FORMATTEXT"/>
        <w:ind w:firstLine="568"/>
        <w:jc w:val="both"/>
      </w:pPr>
    </w:p>
    <w:p w:rsidR="00000000" w:rsidRDefault="00E457F6">
      <w:pPr>
        <w:pStyle w:val="FORMATTEXT"/>
        <w:ind w:firstLine="568"/>
        <w:jc w:val="both"/>
      </w:pPr>
      <w:r>
        <w:t>Таким образом, анализ статистической информации свидетельствует о том, что открытые</w:t>
      </w:r>
      <w:r>
        <w:t xml:space="preserve"> аукционы в электронной форме недостаточно эффективны при размещении заказов на услуги строительные и объекты строительства в диапазоне начальной (максимальной) цены контракта свыше 500 млн. рублей.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Необходимо также отметить, что в 2012 году доля заключе</w:t>
      </w:r>
      <w:r>
        <w:t>нных контрактов на услуги строительные и объекты строительства в диапазоне до 500 млн. рублей составила 99,8% контрактов (по количеству), 52% (по стоимости), а в диапазоне свыше 500 млн. рублей - 0,2% (по количеству) 48% (по стоимости).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Кроме того, в диа</w:t>
      </w:r>
      <w:r>
        <w:t>пазоне до 500 млн. рублей заключаются контракты на типовые строительные работы (строительство зданий дошкольных образовательных учреждений, школ, фельдшерско-аккушерских пунктов, поликлиник по типовым проектам), закупки которых наиболее эффективны на элект</w:t>
      </w:r>
      <w:r>
        <w:t>ронных аукционах.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Строительные работы с начальной (максимальной) ценой контракты свыше 500 млн. рублей, как правило, осуществляются при создании сложных нетиповых объектов. В указанных случаях использование электронного аукциона не может обеспечить конку</w:t>
      </w:r>
      <w:r>
        <w:t>рентные преимущества подрядчикам, предлагающим применение современных технологий, нестандартные решения, обеспечивающие высокое качество работ. В связи с этим для данной категории объектов необходимо применять другие конкурентные способы определения подряд</w:t>
      </w:r>
      <w:r>
        <w:t>чика, которые позволяли бы учитывать его квалификацию, предложения по качеству и технологиям выполнения работ.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Утверждение Перечня позволит повысить эффективность закупок, сократить количество несостоявшихся процедур определения поставщика (подрядчика, и</w:t>
      </w:r>
      <w:r>
        <w:t>сполнителя).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Список рассылки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1. Минфин России</w:t>
      </w:r>
    </w:p>
    <w:p w:rsidR="00000000" w:rsidRDefault="00E457F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2. Минрегион России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3. Минздрав России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4. Минпромторг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5. Минобороны России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6. ФАС России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ind w:firstLine="568"/>
        <w:jc w:val="both"/>
      </w:pPr>
      <w:r>
        <w:t>7. Рособоронзаказ</w:t>
      </w:r>
    </w:p>
    <w:p w:rsidR="00000000" w:rsidRDefault="00E457F6">
      <w:pPr>
        <w:pStyle w:val="FORMATTEXT"/>
        <w:ind w:firstLine="568"/>
        <w:jc w:val="both"/>
      </w:pPr>
      <w:r>
        <w:t xml:space="preserve"> </w:t>
      </w:r>
    </w:p>
    <w:p w:rsidR="00000000" w:rsidRDefault="00E457F6">
      <w:pPr>
        <w:pStyle w:val="FORMATTEXT"/>
        <w:jc w:val="both"/>
      </w:pPr>
    </w:p>
    <w:p w:rsidR="00000000" w:rsidRDefault="00E457F6">
      <w:pPr>
        <w:pStyle w:val="FORMATTEXT"/>
        <w:jc w:val="both"/>
      </w:pPr>
    </w:p>
    <w:p w:rsidR="00000000" w:rsidRDefault="00E457F6">
      <w:pPr>
        <w:pStyle w:val="FORMATTEXT"/>
        <w:jc w:val="both"/>
      </w:pPr>
    </w:p>
    <w:p w:rsidR="00000000" w:rsidRDefault="00E457F6">
      <w:pPr>
        <w:pStyle w:val="FORMATTEXT"/>
        <w:jc w:val="both"/>
      </w:pPr>
      <w:r>
        <w:t xml:space="preserve">Электронный текст документа </w:t>
      </w:r>
    </w:p>
    <w:p w:rsidR="00000000" w:rsidRDefault="00E457F6">
      <w:pPr>
        <w:pStyle w:val="FORMATTEXT"/>
        <w:jc w:val="both"/>
      </w:pPr>
      <w:r>
        <w:t>подготовлен ЗАО "Кодекс" и сверен по:</w:t>
      </w:r>
    </w:p>
    <w:p w:rsidR="00000000" w:rsidRDefault="00E457F6">
      <w:pPr>
        <w:pStyle w:val="FORMATTEXT"/>
        <w:jc w:val="both"/>
      </w:pPr>
      <w:r>
        <w:t xml:space="preserve"> рассылка </w:t>
      </w:r>
    </w:p>
    <w:p w:rsidR="00E457F6" w:rsidRDefault="00E457F6">
      <w:pPr>
        <w:pStyle w:val="FORMATTEXT"/>
      </w:pPr>
      <w:r>
        <w:t xml:space="preserve">  </w:t>
      </w:r>
    </w:p>
    <w:sectPr w:rsidR="00E457F6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89"/>
    <w:rsid w:val="00502189"/>
    <w:rsid w:val="00E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товаров, работ, услуг, в случае осуществления закупок которых заказчик обязан проводить электронный аукцион </vt:lpstr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товаров, работ, услуг, в случае осуществления закупок которых заказчик обязан проводить электронный аукцион</dc:title>
  <dc:creator>Инна</dc:creator>
  <cp:lastModifiedBy>Инна</cp:lastModifiedBy>
  <cp:revision>2</cp:revision>
  <dcterms:created xsi:type="dcterms:W3CDTF">2016-02-12T08:47:00Z</dcterms:created>
  <dcterms:modified xsi:type="dcterms:W3CDTF">2016-02-12T08:47:00Z</dcterms:modified>
</cp:coreProperties>
</file>